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D5" w:rsidRPr="00556727" w:rsidRDefault="00C179D5" w:rsidP="00C179D5">
      <w:pPr>
        <w:autoSpaceDE w:val="0"/>
        <w:autoSpaceDN w:val="0"/>
        <w:adjustRightInd w:val="0"/>
        <w:spacing w:after="0" w:line="240" w:lineRule="auto"/>
        <w:rPr>
          <w:rFonts w:cstheme="minorHAnsi"/>
          <w:color w:val="FF0000"/>
        </w:rPr>
      </w:pPr>
      <w:bookmarkStart w:id="0" w:name="_GoBack"/>
      <w:r w:rsidRPr="00556727">
        <w:rPr>
          <w:rFonts w:cstheme="minorHAnsi"/>
          <w:color w:val="FF0000"/>
        </w:rPr>
        <w:t xml:space="preserve">Wall Tie – WTS2S </w:t>
      </w:r>
      <w:bookmarkEnd w:id="0"/>
      <w:r w:rsidRPr="00556727">
        <w:rPr>
          <w:rFonts w:cstheme="minorHAnsi"/>
          <w:color w:val="FF0000"/>
        </w:rPr>
        <w:t>- Stainless steel type 1 wall tie for Brick-to-Block construction</w:t>
      </w:r>
    </w:p>
    <w:p w:rsidR="00C179D5" w:rsidRPr="00556727" w:rsidRDefault="00C179D5" w:rsidP="00C179D5">
      <w:pPr>
        <w:autoSpaceDE w:val="0"/>
        <w:autoSpaceDN w:val="0"/>
        <w:adjustRightInd w:val="0"/>
        <w:spacing w:after="0" w:line="240" w:lineRule="auto"/>
        <w:rPr>
          <w:rFonts w:cstheme="minorHAnsi"/>
          <w:color w:val="FF0000"/>
        </w:rPr>
      </w:pPr>
    </w:p>
    <w:p w:rsidR="00C179D5" w:rsidRPr="00556727" w:rsidRDefault="00C179D5" w:rsidP="00C179D5">
      <w:pPr>
        <w:pStyle w:val="Heading1"/>
        <w:rPr>
          <w:rFonts w:asciiTheme="minorHAnsi" w:hAnsiTheme="minorHAnsi" w:cstheme="minorHAnsi"/>
          <w:sz w:val="22"/>
          <w:szCs w:val="22"/>
        </w:rPr>
      </w:pPr>
      <w:r w:rsidRPr="00556727">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4335F11" wp14:editId="41D2C054">
            <wp:simplePos x="0" y="0"/>
            <wp:positionH relativeFrom="column">
              <wp:posOffset>3771900</wp:posOffset>
            </wp:positionH>
            <wp:positionV relativeFrom="paragraph">
              <wp:posOffset>7620</wp:posOffset>
            </wp:positionV>
            <wp:extent cx="1938655" cy="480695"/>
            <wp:effectExtent l="0" t="0" r="4445" b="0"/>
            <wp:wrapNone/>
            <wp:docPr id="72" name="Picture 72" descr="Win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cro"/>
                    <pic:cNvPicPr>
                      <a:picLocks noChangeAspect="1" noChangeArrowheads="1"/>
                    </pic:cNvPicPr>
                  </pic:nvPicPr>
                  <pic:blipFill>
                    <a:blip r:embed="rId6">
                      <a:extLst>
                        <a:ext uri="{28A0092B-C50C-407E-A947-70E740481C1C}">
                          <a14:useLocalDpi xmlns:a14="http://schemas.microsoft.com/office/drawing/2010/main" val="0"/>
                        </a:ext>
                      </a:extLst>
                    </a:blip>
                    <a:srcRect l="12946" t="19321" r="19862" b="58444"/>
                    <a:stretch>
                      <a:fillRect/>
                    </a:stretch>
                  </pic:blipFill>
                  <pic:spPr bwMode="auto">
                    <a:xfrm>
                      <a:off x="0" y="0"/>
                      <a:ext cx="193865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27">
        <w:rPr>
          <w:rFonts w:asciiTheme="minorHAnsi" w:hAnsiTheme="minorHAnsi" w:cstheme="minorHAnsi"/>
          <w:sz w:val="22"/>
          <w:szCs w:val="22"/>
        </w:rPr>
        <w:t>Specification Data Sheet (F30)</w:t>
      </w:r>
    </w:p>
    <w:p w:rsidR="00C179D5" w:rsidRPr="00556727" w:rsidRDefault="00C179D5" w:rsidP="00C179D5">
      <w:pPr>
        <w:rPr>
          <w:rFonts w:cstheme="minorHAnsi"/>
        </w:rPr>
      </w:pPr>
    </w:p>
    <w:tbl>
      <w:tblPr>
        <w:tblW w:w="89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448"/>
        <w:gridCol w:w="6480"/>
      </w:tblGrid>
      <w:tr w:rsidR="00C179D5" w:rsidRPr="00556727" w:rsidTr="002B4DC8">
        <w:tblPrEx>
          <w:tblCellMar>
            <w:top w:w="0" w:type="dxa"/>
            <w:bottom w:w="0" w:type="dxa"/>
          </w:tblCellMar>
        </w:tblPrEx>
        <w:tc>
          <w:tcPr>
            <w:tcW w:w="2448" w:type="dxa"/>
          </w:tcPr>
          <w:p w:rsidR="00C179D5" w:rsidRPr="00556727" w:rsidRDefault="00C179D5" w:rsidP="002B4DC8">
            <w:pPr>
              <w:rPr>
                <w:rFonts w:cstheme="minorHAnsi"/>
                <w:b/>
                <w:bCs/>
              </w:rPr>
            </w:pPr>
            <w:r w:rsidRPr="00556727">
              <w:rPr>
                <w:rFonts w:cstheme="minorHAnsi"/>
                <w:b/>
                <w:bCs/>
              </w:rPr>
              <w:t>Project:</w:t>
            </w:r>
          </w:p>
        </w:tc>
        <w:tc>
          <w:tcPr>
            <w:tcW w:w="6480" w:type="dxa"/>
          </w:tcPr>
          <w:p w:rsidR="00C179D5" w:rsidRPr="00556727" w:rsidRDefault="00C179D5" w:rsidP="002B4DC8">
            <w:pPr>
              <w:rPr>
                <w:rFonts w:cstheme="minorHAnsi"/>
                <w:b/>
                <w:bCs/>
              </w:rPr>
            </w:pPr>
          </w:p>
        </w:tc>
      </w:tr>
    </w:tbl>
    <w:p w:rsidR="00C179D5" w:rsidRPr="00556727" w:rsidRDefault="00C179D5" w:rsidP="00C179D5">
      <w:pPr>
        <w:tabs>
          <w:tab w:val="left" w:pos="2340"/>
        </w:tabs>
        <w:rPr>
          <w:rFonts w:cstheme="minorHAnsi"/>
        </w:rPr>
      </w:pPr>
    </w:p>
    <w:p w:rsidR="00C179D5" w:rsidRPr="00556727" w:rsidRDefault="00C179D5" w:rsidP="00C179D5">
      <w:pPr>
        <w:autoSpaceDE w:val="0"/>
        <w:autoSpaceDN w:val="0"/>
        <w:adjustRightInd w:val="0"/>
        <w:spacing w:after="0" w:line="240" w:lineRule="auto"/>
        <w:rPr>
          <w:rFonts w:cstheme="minorHAnsi"/>
        </w:rPr>
      </w:pPr>
      <w:r w:rsidRPr="00556727">
        <w:rPr>
          <w:rFonts w:cstheme="minorHAnsi"/>
        </w:rPr>
        <w:t xml:space="preserve">Wincro Metal Industries Ltd manufacture a wide range of corrosion resistant fixings, produced using high quality grade 1.4301 (304) stainless steel. Grade 1.4401 (316) stainless steel can be specified for use in corrosive environments. The range is designed to satisfy most standard masonry to masonry, masonry to concrete and masonry to steel work applications. </w:t>
      </w:r>
    </w:p>
    <w:p w:rsidR="00C179D5" w:rsidRPr="00556727" w:rsidRDefault="00C179D5" w:rsidP="00C179D5">
      <w:pPr>
        <w:autoSpaceDE w:val="0"/>
        <w:autoSpaceDN w:val="0"/>
        <w:adjustRightInd w:val="0"/>
        <w:spacing w:after="0" w:line="240" w:lineRule="auto"/>
        <w:rPr>
          <w:rFonts w:cstheme="minorHAnsi"/>
        </w:rPr>
      </w:pPr>
    </w:p>
    <w:p w:rsidR="00C179D5" w:rsidRPr="00556727" w:rsidRDefault="00C179D5" w:rsidP="00C179D5">
      <w:pPr>
        <w:autoSpaceDE w:val="0"/>
        <w:autoSpaceDN w:val="0"/>
        <w:adjustRightInd w:val="0"/>
        <w:spacing w:after="0" w:line="240" w:lineRule="auto"/>
        <w:rPr>
          <w:rFonts w:cstheme="minorHAnsi"/>
        </w:rPr>
      </w:pPr>
      <w:proofErr w:type="spellStart"/>
      <w:r w:rsidRPr="00556727">
        <w:rPr>
          <w:rFonts w:cstheme="minorHAnsi"/>
        </w:rPr>
        <w:t>Wincro’s</w:t>
      </w:r>
      <w:proofErr w:type="spellEnd"/>
      <w:r w:rsidRPr="00556727">
        <w:rPr>
          <w:rFonts w:cstheme="minorHAnsi"/>
        </w:rPr>
        <w:t xml:space="preserve"> Technical Design Team </w:t>
      </w:r>
      <w:proofErr w:type="gramStart"/>
      <w:r w:rsidRPr="00556727">
        <w:rPr>
          <w:rFonts w:cstheme="minorHAnsi"/>
        </w:rPr>
        <w:t>are</w:t>
      </w:r>
      <w:proofErr w:type="gramEnd"/>
      <w:r w:rsidRPr="00556727">
        <w:rPr>
          <w:rFonts w:cstheme="minorHAnsi"/>
        </w:rPr>
        <w:t xml:space="preserve"> available to discuss and produce bespoke ties to customer specific requirements. Wincro can also provide a design and specification service and it is recommended that they are consulted early in the design process.</w:t>
      </w:r>
    </w:p>
    <w:p w:rsidR="00C179D5" w:rsidRPr="00556727" w:rsidRDefault="00C179D5" w:rsidP="00C179D5">
      <w:pPr>
        <w:autoSpaceDE w:val="0"/>
        <w:autoSpaceDN w:val="0"/>
        <w:adjustRightInd w:val="0"/>
        <w:spacing w:after="0" w:line="240" w:lineRule="auto"/>
        <w:rPr>
          <w:rFonts w:cstheme="minorHAnsi"/>
          <w:color w:val="FF0000"/>
        </w:rPr>
      </w:pPr>
    </w:p>
    <w:tbl>
      <w:tblPr>
        <w:tblW w:w="924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1683"/>
        <w:gridCol w:w="7559"/>
      </w:tblGrid>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r w:rsidRPr="00556727">
              <w:rPr>
                <w:rFonts w:cstheme="minorHAnsi"/>
                <w:b/>
                <w:bCs/>
              </w:rPr>
              <w:t>Type</w:t>
            </w:r>
          </w:p>
        </w:tc>
        <w:tc>
          <w:tcPr>
            <w:tcW w:w="7559" w:type="dxa"/>
          </w:tcPr>
          <w:p w:rsidR="00C179D5" w:rsidRPr="00556727" w:rsidRDefault="00C179D5" w:rsidP="002B4DC8">
            <w:pPr>
              <w:autoSpaceDE w:val="0"/>
              <w:autoSpaceDN w:val="0"/>
              <w:adjustRightInd w:val="0"/>
              <w:spacing w:after="0" w:line="240" w:lineRule="auto"/>
              <w:rPr>
                <w:rFonts w:cstheme="minorHAnsi"/>
              </w:rPr>
            </w:pPr>
            <w:r w:rsidRPr="00556727">
              <w:rPr>
                <w:rFonts w:cstheme="minorHAnsi"/>
                <w:b/>
                <w:bCs/>
              </w:rPr>
              <w:t>Heavy Duty Ties</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r w:rsidRPr="00556727">
              <w:rPr>
                <w:rFonts w:cstheme="minorHAnsi"/>
                <w:b/>
                <w:bCs/>
              </w:rPr>
              <w:t>Description:</w:t>
            </w:r>
          </w:p>
        </w:tc>
        <w:tc>
          <w:tcPr>
            <w:tcW w:w="7559" w:type="dxa"/>
          </w:tcPr>
          <w:p w:rsidR="00C179D5" w:rsidRPr="00556727" w:rsidRDefault="00C179D5" w:rsidP="002B4DC8">
            <w:pPr>
              <w:autoSpaceDE w:val="0"/>
              <w:autoSpaceDN w:val="0"/>
              <w:adjustRightInd w:val="0"/>
              <w:spacing w:after="0" w:line="240" w:lineRule="auto"/>
              <w:rPr>
                <w:rFonts w:cstheme="minorHAnsi"/>
              </w:rPr>
            </w:pP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Wincro WTS2S Indented Safe Tie</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The Wincro WTS2S wall tie is a heavy duty Type 1 Safe tie suitable for</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cavities from 25 to 150 mm and can be used for all types of buildings,</w:t>
            </w:r>
          </w:p>
          <w:p w:rsidR="00C179D5" w:rsidRPr="00556727" w:rsidRDefault="00C179D5" w:rsidP="002B4DC8">
            <w:pPr>
              <w:autoSpaceDE w:val="0"/>
              <w:autoSpaceDN w:val="0"/>
              <w:adjustRightInd w:val="0"/>
              <w:spacing w:after="0" w:line="240" w:lineRule="auto"/>
              <w:rPr>
                <w:rFonts w:cstheme="minorHAnsi"/>
              </w:rPr>
            </w:pPr>
            <w:proofErr w:type="gramStart"/>
            <w:r w:rsidRPr="00556727">
              <w:rPr>
                <w:rFonts w:cstheme="minorHAnsi"/>
              </w:rPr>
              <w:t>of</w:t>
            </w:r>
            <w:proofErr w:type="gramEnd"/>
            <w:r w:rsidRPr="00556727">
              <w:rPr>
                <w:rFonts w:cstheme="minorHAnsi"/>
              </w:rPr>
              <w:t xml:space="preserve"> any height, and in any location within the British Isles.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Offset drip is ideally suited to partial fill cavities.</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p>
          <w:p w:rsidR="00C179D5" w:rsidRPr="00556727" w:rsidRDefault="00C179D5" w:rsidP="002B4DC8">
            <w:pPr>
              <w:rPr>
                <w:rFonts w:cstheme="minorHAnsi"/>
                <w:b/>
                <w:bCs/>
              </w:rPr>
            </w:pPr>
            <w:r w:rsidRPr="00556727">
              <w:rPr>
                <w:rFonts w:cstheme="minorHAnsi"/>
                <w:b/>
                <w:bCs/>
              </w:rPr>
              <w:t>Manufacturer:</w:t>
            </w:r>
          </w:p>
        </w:tc>
        <w:tc>
          <w:tcPr>
            <w:tcW w:w="7559" w:type="dxa"/>
          </w:tcPr>
          <w:p w:rsidR="00C179D5" w:rsidRPr="00556727" w:rsidRDefault="00C179D5" w:rsidP="002B4DC8">
            <w:pPr>
              <w:rPr>
                <w:rFonts w:cstheme="minorHAnsi"/>
              </w:rPr>
            </w:pPr>
          </w:p>
          <w:p w:rsidR="00C179D5" w:rsidRPr="00556727" w:rsidRDefault="00C179D5" w:rsidP="002B4DC8">
            <w:pPr>
              <w:rPr>
                <w:rFonts w:cstheme="minorHAnsi"/>
              </w:rPr>
            </w:pPr>
            <w:r w:rsidRPr="00556727">
              <w:rPr>
                <w:rFonts w:cstheme="minorHAnsi"/>
              </w:rPr>
              <w:t xml:space="preserve">Wincro Metal Industries Ltd. </w:t>
            </w:r>
            <w:proofErr w:type="spellStart"/>
            <w:r w:rsidRPr="00556727">
              <w:rPr>
                <w:rFonts w:cstheme="minorHAnsi"/>
              </w:rPr>
              <w:t>Wincobank</w:t>
            </w:r>
            <w:proofErr w:type="spellEnd"/>
            <w:r w:rsidRPr="00556727">
              <w:rPr>
                <w:rFonts w:cstheme="minorHAnsi"/>
              </w:rPr>
              <w:t xml:space="preserve"> Works, Fife Street, Sheffield, S9 1NJ. Tel: 0114 242 2171. Fax: 0114 243 4306.</w:t>
            </w:r>
          </w:p>
          <w:p w:rsidR="00C179D5" w:rsidRPr="00556727" w:rsidRDefault="00C179D5" w:rsidP="002B4DC8">
            <w:pPr>
              <w:autoSpaceDE w:val="0"/>
              <w:autoSpaceDN w:val="0"/>
              <w:adjustRightInd w:val="0"/>
              <w:spacing w:after="0" w:line="240" w:lineRule="auto"/>
              <w:rPr>
                <w:rFonts w:cstheme="minorHAnsi"/>
              </w:rPr>
            </w:pP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r w:rsidRPr="00556727">
              <w:rPr>
                <w:rFonts w:cstheme="minorHAnsi"/>
                <w:b/>
                <w:bCs/>
              </w:rPr>
              <w:t>Product Reference</w:t>
            </w:r>
          </w:p>
        </w:tc>
        <w:tc>
          <w:tcPr>
            <w:tcW w:w="7559" w:type="dxa"/>
          </w:tcPr>
          <w:p w:rsidR="00C179D5" w:rsidRPr="00556727" w:rsidRDefault="00C179D5" w:rsidP="00C179D5">
            <w:pPr>
              <w:pStyle w:val="ListParagraph"/>
              <w:numPr>
                <w:ilvl w:val="0"/>
                <w:numId w:val="1"/>
              </w:numPr>
              <w:rPr>
                <w:rFonts w:cstheme="minorHAnsi"/>
              </w:rPr>
            </w:pPr>
            <w:r w:rsidRPr="00556727">
              <w:rPr>
                <w:rFonts w:cstheme="minorHAnsi"/>
              </w:rPr>
              <w:t>Wincro WTS2S</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p>
          <w:p w:rsidR="00C179D5" w:rsidRPr="00556727" w:rsidRDefault="00C179D5" w:rsidP="002B4DC8">
            <w:pPr>
              <w:rPr>
                <w:rFonts w:cstheme="minorHAnsi"/>
                <w:b/>
                <w:bCs/>
              </w:rPr>
            </w:pPr>
            <w:r w:rsidRPr="00556727">
              <w:rPr>
                <w:rFonts w:cstheme="minorHAnsi"/>
                <w:b/>
                <w:bCs/>
              </w:rPr>
              <w:t>Material:</w:t>
            </w:r>
          </w:p>
        </w:tc>
        <w:tc>
          <w:tcPr>
            <w:tcW w:w="7559" w:type="dxa"/>
          </w:tcPr>
          <w:p w:rsidR="00C179D5" w:rsidRPr="00556727" w:rsidRDefault="00C179D5" w:rsidP="002B4DC8">
            <w:pPr>
              <w:rPr>
                <w:rFonts w:cstheme="minorHAnsi"/>
              </w:rPr>
            </w:pPr>
            <w:r w:rsidRPr="00556727">
              <w:rPr>
                <w:rFonts w:cstheme="minorHAnsi"/>
              </w:rPr>
              <w:t>Grade 1.4301 (304) Stainless Steel.</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p>
          <w:p w:rsidR="00C179D5" w:rsidRPr="00556727" w:rsidRDefault="00C179D5" w:rsidP="002B4DC8">
            <w:pPr>
              <w:rPr>
                <w:rFonts w:cstheme="minorHAnsi"/>
                <w:b/>
                <w:bCs/>
              </w:rPr>
            </w:pPr>
            <w:r w:rsidRPr="00556727">
              <w:rPr>
                <w:rFonts w:cstheme="minorHAnsi"/>
                <w:b/>
                <w:bCs/>
              </w:rPr>
              <w:t>Sizes:</w:t>
            </w:r>
          </w:p>
        </w:tc>
        <w:tc>
          <w:tcPr>
            <w:tcW w:w="7559" w:type="dxa"/>
          </w:tcPr>
          <w:p w:rsidR="00C179D5" w:rsidRPr="00556727" w:rsidRDefault="00C179D5" w:rsidP="002B4DC8">
            <w:pPr>
              <w:autoSpaceDE w:val="0"/>
              <w:autoSpaceDN w:val="0"/>
              <w:adjustRightInd w:val="0"/>
              <w:spacing w:after="0" w:line="240" w:lineRule="auto"/>
              <w:rPr>
                <w:rFonts w:cstheme="minorHAnsi"/>
              </w:rPr>
            </w:pPr>
            <w:r w:rsidRPr="00556727">
              <w:rPr>
                <w:rFonts w:cstheme="minorHAnsi"/>
              </w:rPr>
              <w:t>175 mm length – for 25 to 50 mm cavities.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200 mm length – for 50 to 75 mm cavities.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225 mm length – for 76 to 100 mm cavities.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250 mm length – for 101 to 125 mm cavities.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275 mm length – for 126 to 150 mm cavities.</w:t>
            </w:r>
          </w:p>
          <w:p w:rsidR="00C179D5" w:rsidRPr="00556727" w:rsidRDefault="00C179D5" w:rsidP="002B4DC8">
            <w:pPr>
              <w:autoSpaceDE w:val="0"/>
              <w:autoSpaceDN w:val="0"/>
              <w:adjustRightInd w:val="0"/>
              <w:spacing w:after="0" w:line="240" w:lineRule="auto"/>
              <w:rPr>
                <w:rFonts w:cstheme="minorHAnsi"/>
              </w:rPr>
            </w:pPr>
            <w:r w:rsidRPr="00556727">
              <w:rPr>
                <w:rFonts w:cstheme="minorHAnsi"/>
              </w:rPr>
              <w:t>300 mm length – for 150mm cavities.</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r w:rsidRPr="00556727">
              <w:rPr>
                <w:rFonts w:cstheme="minorHAnsi"/>
                <w:b/>
                <w:bCs/>
              </w:rPr>
              <w:t>Accessories:</w:t>
            </w:r>
          </w:p>
        </w:tc>
        <w:tc>
          <w:tcPr>
            <w:tcW w:w="7559" w:type="dxa"/>
          </w:tcPr>
          <w:p w:rsidR="00C179D5" w:rsidRPr="00556727" w:rsidRDefault="00C179D5" w:rsidP="002B4DC8">
            <w:pPr>
              <w:autoSpaceDE w:val="0"/>
              <w:autoSpaceDN w:val="0"/>
              <w:adjustRightInd w:val="0"/>
              <w:spacing w:after="0" w:line="240" w:lineRule="auto"/>
              <w:rPr>
                <w:rFonts w:cstheme="minorHAnsi"/>
              </w:rPr>
            </w:pPr>
            <w:r w:rsidRPr="00556727">
              <w:rPr>
                <w:rFonts w:cstheme="minorHAnsi"/>
              </w:rPr>
              <w:t>WIC – Plastic Insulation Retaining Clip.</w:t>
            </w:r>
          </w:p>
        </w:tc>
      </w:tr>
      <w:tr w:rsidR="00C179D5" w:rsidRPr="00556727" w:rsidTr="002B4DC8">
        <w:tblPrEx>
          <w:tblCellMar>
            <w:top w:w="0" w:type="dxa"/>
            <w:bottom w:w="0" w:type="dxa"/>
          </w:tblCellMar>
        </w:tblPrEx>
        <w:tc>
          <w:tcPr>
            <w:tcW w:w="1683" w:type="dxa"/>
          </w:tcPr>
          <w:p w:rsidR="00C179D5" w:rsidRPr="00556727" w:rsidRDefault="00C179D5" w:rsidP="002B4DC8">
            <w:pPr>
              <w:rPr>
                <w:rFonts w:cstheme="minorHAnsi"/>
                <w:b/>
                <w:bCs/>
              </w:rPr>
            </w:pPr>
            <w:r w:rsidRPr="00556727">
              <w:rPr>
                <w:rFonts w:cstheme="minorHAnsi"/>
                <w:b/>
                <w:bCs/>
              </w:rPr>
              <w:lastRenderedPageBreak/>
              <w:t>Images:</w:t>
            </w:r>
          </w:p>
        </w:tc>
        <w:tc>
          <w:tcPr>
            <w:tcW w:w="7559" w:type="dxa"/>
          </w:tcPr>
          <w:p w:rsidR="00C179D5" w:rsidRPr="00556727" w:rsidRDefault="00C179D5" w:rsidP="002B4DC8">
            <w:pPr>
              <w:autoSpaceDE w:val="0"/>
              <w:autoSpaceDN w:val="0"/>
              <w:adjustRightInd w:val="0"/>
              <w:spacing w:after="0" w:line="240" w:lineRule="auto"/>
              <w:rPr>
                <w:rFonts w:cstheme="minorHAnsi"/>
              </w:rPr>
            </w:pPr>
            <w:r w:rsidRPr="00556727">
              <w:rPr>
                <w:rFonts w:cstheme="minorHAnsi"/>
                <w:noProof/>
                <w:lang w:eastAsia="en-GB"/>
              </w:rPr>
              <w:drawing>
                <wp:inline distT="0" distB="0" distL="0" distR="0" wp14:anchorId="538291FD" wp14:editId="53277073">
                  <wp:extent cx="2809559" cy="950026"/>
                  <wp:effectExtent l="0" t="0" r="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551" cy="950023"/>
                          </a:xfrm>
                          <a:prstGeom prst="rect">
                            <a:avLst/>
                          </a:prstGeom>
                          <a:noFill/>
                          <a:ln>
                            <a:noFill/>
                          </a:ln>
                        </pic:spPr>
                      </pic:pic>
                    </a:graphicData>
                  </a:graphic>
                </wp:inline>
              </w:drawing>
            </w:r>
          </w:p>
        </w:tc>
      </w:tr>
    </w:tbl>
    <w:p w:rsidR="00C179D5" w:rsidRPr="00556727" w:rsidRDefault="00C179D5" w:rsidP="00C179D5">
      <w:pPr>
        <w:autoSpaceDE w:val="0"/>
        <w:autoSpaceDN w:val="0"/>
        <w:adjustRightInd w:val="0"/>
        <w:spacing w:after="0" w:line="240" w:lineRule="auto"/>
        <w:rPr>
          <w:rFonts w:cstheme="minorHAnsi"/>
          <w:color w:val="FF0000"/>
        </w:rPr>
      </w:pPr>
    </w:p>
    <w:p w:rsidR="002D339C" w:rsidRDefault="002D339C"/>
    <w:sectPr w:rsidR="002D3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720E"/>
    <w:multiLevelType w:val="hybridMultilevel"/>
    <w:tmpl w:val="0F52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D5"/>
    <w:rsid w:val="00241423"/>
    <w:rsid w:val="002D339C"/>
    <w:rsid w:val="00C179D5"/>
    <w:rsid w:val="00D44807"/>
    <w:rsid w:val="00D60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5"/>
  </w:style>
  <w:style w:type="paragraph" w:styleId="Heading1">
    <w:name w:val="heading 1"/>
    <w:basedOn w:val="Normal"/>
    <w:next w:val="Normal"/>
    <w:link w:val="Heading1Char"/>
    <w:qFormat/>
    <w:rsid w:val="00C179D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9D5"/>
    <w:rPr>
      <w:rFonts w:ascii="Arial" w:eastAsia="Times New Roman" w:hAnsi="Arial" w:cs="Arial"/>
      <w:b/>
      <w:bCs/>
      <w:kern w:val="32"/>
      <w:sz w:val="32"/>
      <w:szCs w:val="32"/>
    </w:rPr>
  </w:style>
  <w:style w:type="paragraph" w:styleId="ListParagraph">
    <w:name w:val="List Paragraph"/>
    <w:basedOn w:val="Normal"/>
    <w:uiPriority w:val="34"/>
    <w:qFormat/>
    <w:rsid w:val="00C179D5"/>
    <w:pPr>
      <w:ind w:left="720"/>
      <w:contextualSpacing/>
    </w:pPr>
  </w:style>
  <w:style w:type="paragraph" w:styleId="BalloonText">
    <w:name w:val="Balloon Text"/>
    <w:basedOn w:val="Normal"/>
    <w:link w:val="BalloonTextChar"/>
    <w:uiPriority w:val="99"/>
    <w:semiHidden/>
    <w:unhideWhenUsed/>
    <w:rsid w:val="00C1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5"/>
  </w:style>
  <w:style w:type="paragraph" w:styleId="Heading1">
    <w:name w:val="heading 1"/>
    <w:basedOn w:val="Normal"/>
    <w:next w:val="Normal"/>
    <w:link w:val="Heading1Char"/>
    <w:qFormat/>
    <w:rsid w:val="00C179D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9D5"/>
    <w:rPr>
      <w:rFonts w:ascii="Arial" w:eastAsia="Times New Roman" w:hAnsi="Arial" w:cs="Arial"/>
      <w:b/>
      <w:bCs/>
      <w:kern w:val="32"/>
      <w:sz w:val="32"/>
      <w:szCs w:val="32"/>
    </w:rPr>
  </w:style>
  <w:style w:type="paragraph" w:styleId="ListParagraph">
    <w:name w:val="List Paragraph"/>
    <w:basedOn w:val="Normal"/>
    <w:uiPriority w:val="34"/>
    <w:qFormat/>
    <w:rsid w:val="00C179D5"/>
    <w:pPr>
      <w:ind w:left="720"/>
      <w:contextualSpacing/>
    </w:pPr>
  </w:style>
  <w:style w:type="paragraph" w:styleId="BalloonText">
    <w:name w:val="Balloon Text"/>
    <w:basedOn w:val="Normal"/>
    <w:link w:val="BalloonTextChar"/>
    <w:uiPriority w:val="99"/>
    <w:semiHidden/>
    <w:unhideWhenUsed/>
    <w:rsid w:val="00C1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Black</dc:creator>
  <cp:lastModifiedBy>David Black</cp:lastModifiedBy>
  <cp:revision>1</cp:revision>
  <dcterms:created xsi:type="dcterms:W3CDTF">2012-09-12T14:55:00Z</dcterms:created>
  <dcterms:modified xsi:type="dcterms:W3CDTF">2012-09-12T14:55:00Z</dcterms:modified>
</cp:coreProperties>
</file>